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4A" w:rsidRPr="00567C4A" w:rsidRDefault="00567C4A" w:rsidP="009D1F0B">
      <w:pPr>
        <w:shd w:val="clear" w:color="auto" w:fill="FFFFFF"/>
        <w:spacing w:before="41" w:after="41" w:line="360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567C4A" w:rsidRPr="00567C4A" w:rsidRDefault="00567C4A" w:rsidP="00567C4A">
      <w:pPr>
        <w:shd w:val="clear" w:color="auto" w:fill="FFFFFF"/>
        <w:spacing w:before="41" w:after="41" w:line="360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567C4A" w:rsidRPr="00F80B94" w:rsidRDefault="00F80B94" w:rsidP="00F80B94">
      <w:pPr>
        <w:shd w:val="clear" w:color="auto" w:fill="FFFFFF"/>
        <w:spacing w:before="41" w:after="41" w:line="360" w:lineRule="atLeast"/>
        <w:jc w:val="center"/>
        <w:rPr>
          <w:rFonts w:ascii="Verdana" w:eastAsia="Times New Roman" w:hAnsi="Verdana" w:cs="Times New Roman"/>
          <w:sz w:val="27"/>
          <w:szCs w:val="27"/>
        </w:rPr>
      </w:pPr>
      <w:r w:rsidRPr="00F80B94">
        <w:rPr>
          <w:rFonts w:ascii="Arial" w:eastAsia="Times New Roman" w:hAnsi="Arial" w:cs="Arial"/>
          <w:sz w:val="36"/>
          <w:szCs w:val="36"/>
        </w:rPr>
        <w:t>Функциональная грамотность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Функциональная грамотность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Составляющие функциональной грамотности: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 1. </w:t>
      </w: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Читательская грамотность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 xml:space="preserve"> – способность человека понимать и использовать </w:t>
      </w:r>
      <w:proofErr w:type="gramStart"/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письменное</w:t>
      </w:r>
      <w:proofErr w:type="gramEnd"/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2. </w:t>
      </w:r>
      <w:proofErr w:type="spellStart"/>
      <w:proofErr w:type="gramStart"/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Естественно-научная</w:t>
      </w:r>
      <w:proofErr w:type="spellEnd"/>
      <w:proofErr w:type="gramEnd"/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 грамотность 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 xml:space="preserve">- способность человека занимать активную гражданскую позицию по вопросам, связанным с </w:t>
      </w:r>
      <w:proofErr w:type="spellStart"/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естественно-научными</w:t>
      </w:r>
      <w:proofErr w:type="spellEnd"/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 xml:space="preserve"> идеями: научно объяснять явления; понимать особенности </w:t>
      </w:r>
      <w:proofErr w:type="spellStart"/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естественно-научного</w:t>
      </w:r>
      <w:proofErr w:type="spellEnd"/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 xml:space="preserve"> исследования; интерпретировать данные и использовать научные доказательства.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3. </w:t>
      </w: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Математическая грамотность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 -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4. </w:t>
      </w: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Финансовая грамотность 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–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5. </w:t>
      </w:r>
      <w:proofErr w:type="spellStart"/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Креативное</w:t>
      </w:r>
      <w:proofErr w:type="spellEnd"/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 мышление.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6. </w:t>
      </w: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Глобальные компетенции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. Под глобальными компетенциями в исследовании понимаются способности: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- критически рассматривать с различных точек зрения проблемы глобального характера и межкультурного взаимодействия;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- 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-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567C4A" w:rsidRPr="00567C4A" w:rsidRDefault="00567C4A" w:rsidP="00567C4A">
      <w:pPr>
        <w:shd w:val="clear" w:color="auto" w:fill="FFFFFF"/>
        <w:spacing w:before="41" w:after="24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b/>
          <w:bCs/>
          <w:color w:val="000000"/>
          <w:sz w:val="27"/>
        </w:rPr>
        <w:t>Глобальные компетенции</w:t>
      </w:r>
      <w:r w:rsidRPr="00567C4A">
        <w:rPr>
          <w:rFonts w:ascii="Verdana" w:eastAsia="Times New Roman" w:hAnsi="Verdana" w:cs="Times New Roman"/>
          <w:color w:val="000000"/>
          <w:sz w:val="27"/>
          <w:szCs w:val="27"/>
        </w:rPr>
        <w:t> 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 развития</w:t>
      </w:r>
      <w:r w:rsidRPr="00567C4A">
        <w:rPr>
          <w:rFonts w:ascii="Verdana" w:eastAsia="Times New Roman" w:hAnsi="Verdana" w:cs="Times New Roman"/>
          <w:color w:val="212529"/>
          <w:sz w:val="27"/>
          <w:szCs w:val="27"/>
        </w:rPr>
        <w:t>, управление поведением, открытость к новому, эмоциональное восприятие нового.</w:t>
      </w:r>
    </w:p>
    <w:p w:rsidR="00567C4A" w:rsidRPr="00567C4A" w:rsidRDefault="00567C4A" w:rsidP="00567C4A">
      <w:pPr>
        <w:shd w:val="clear" w:color="auto" w:fill="FFFFFF"/>
        <w:spacing w:before="41" w:after="0" w:line="33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ИНФОРМАЦИЯ</w:t>
      </w:r>
    </w:p>
    <w:p w:rsidR="00567C4A" w:rsidRPr="00567C4A" w:rsidRDefault="00567C4A" w:rsidP="00567C4A">
      <w:pPr>
        <w:shd w:val="clear" w:color="auto" w:fill="FFFFFF"/>
        <w:spacing w:before="41"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проводят четыре исследования функциональной грамотности. Три из них – международные. Это TIMSS и PIRLS для 4-х классов и PISA для 4-х и 8-х классов. С 2019 года </w:t>
      </w:r>
      <w:proofErr w:type="spellStart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запустило общероссийское исследование качества образования по модели PISA.</w:t>
      </w:r>
    </w:p>
    <w:p w:rsidR="00567C4A" w:rsidRPr="00567C4A" w:rsidRDefault="00567C4A" w:rsidP="00567C4A">
      <w:pPr>
        <w:shd w:val="clear" w:color="auto" w:fill="FFFFFF"/>
        <w:spacing w:before="41"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spellStart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утвердили методологию и критерии оценки качества образования в школах на основе практики международных исследований (</w:t>
      </w:r>
      <w:hyperlink r:id="rId4" w:anchor="/document/99/554691568/" w:history="1">
        <w:r w:rsidRPr="00567C4A">
          <w:rPr>
            <w:rFonts w:ascii="Times New Roman" w:eastAsia="Times New Roman" w:hAnsi="Times New Roman" w:cs="Times New Roman"/>
            <w:b/>
            <w:bCs/>
            <w:sz w:val="28"/>
            <w:u w:val="single"/>
          </w:rPr>
          <w:t xml:space="preserve">приказ </w:t>
        </w:r>
        <w:proofErr w:type="spellStart"/>
        <w:r w:rsidRPr="00567C4A">
          <w:rPr>
            <w:rFonts w:ascii="Times New Roman" w:eastAsia="Times New Roman" w:hAnsi="Times New Roman" w:cs="Times New Roman"/>
            <w:b/>
            <w:bCs/>
            <w:sz w:val="28"/>
            <w:u w:val="single"/>
          </w:rPr>
          <w:t>Рособрнадзора</w:t>
        </w:r>
        <w:proofErr w:type="spellEnd"/>
        <w:r w:rsidRPr="00567C4A">
          <w:rPr>
            <w:rFonts w:ascii="Times New Roman" w:eastAsia="Times New Roman" w:hAnsi="Times New Roman" w:cs="Times New Roman"/>
            <w:b/>
            <w:bCs/>
            <w:sz w:val="28"/>
            <w:u w:val="single"/>
          </w:rPr>
          <w:t xml:space="preserve">, </w:t>
        </w:r>
        <w:proofErr w:type="spellStart"/>
        <w:r w:rsidRPr="00567C4A">
          <w:rPr>
            <w:rFonts w:ascii="Times New Roman" w:eastAsia="Times New Roman" w:hAnsi="Times New Roman" w:cs="Times New Roman"/>
            <w:b/>
            <w:bCs/>
            <w:sz w:val="28"/>
            <w:u w:val="single"/>
          </w:rPr>
          <w:t>Минпросвещения</w:t>
        </w:r>
        <w:proofErr w:type="spellEnd"/>
        <w:r w:rsidRPr="00567C4A">
          <w:rPr>
            <w:rFonts w:ascii="Times New Roman" w:eastAsia="Times New Roman" w:hAnsi="Times New Roman" w:cs="Times New Roman"/>
            <w:b/>
            <w:bCs/>
            <w:sz w:val="28"/>
            <w:u w:val="single"/>
          </w:rPr>
          <w:t xml:space="preserve"> от 06.05.2019 № 590/219</w:t>
        </w:r>
      </w:hyperlink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). В документе содержатся методы и критерии, которые будут использовать для оценки. А еще – график исследования в разных регионах.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Внешние исследования функциональной грамотности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6"/>
        <w:gridCol w:w="3387"/>
        <w:gridCol w:w="1514"/>
        <w:gridCol w:w="1160"/>
        <w:gridCol w:w="1508"/>
      </w:tblGrid>
      <w:tr w:rsidR="00567C4A" w:rsidRPr="00567C4A" w:rsidTr="00567C4A">
        <w:trPr>
          <w:tblHeader/>
        </w:trPr>
        <w:tc>
          <w:tcPr>
            <w:tcW w:w="226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519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проверяет</w:t>
            </w:r>
          </w:p>
        </w:tc>
        <w:tc>
          <w:tcPr>
            <w:tcW w:w="17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классы</w:t>
            </w:r>
          </w:p>
        </w:tc>
        <w:tc>
          <w:tcPr>
            <w:tcW w:w="91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проходит</w:t>
            </w:r>
          </w:p>
        </w:tc>
        <w:tc>
          <w:tcPr>
            <w:tcW w:w="91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ближайшее</w:t>
            </w:r>
          </w:p>
        </w:tc>
      </w:tr>
      <w:tr w:rsidR="00567C4A" w:rsidRPr="00567C4A" w:rsidTr="00567C4A">
        <w:tc>
          <w:tcPr>
            <w:tcW w:w="226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TIMSS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15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математического и </w:t>
            </w:r>
            <w:proofErr w:type="spellStart"/>
            <w:proofErr w:type="gramStart"/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4-е и 8-е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15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четыре года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67C4A" w:rsidRPr="00567C4A" w:rsidTr="00567C4A">
        <w:tc>
          <w:tcPr>
            <w:tcW w:w="226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PIRLS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чтения и понимания текста</w:t>
            </w:r>
            <w:hyperlink r:id="rId5" w:history="1">
              <w:r w:rsidRPr="00567C4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drawing>
                  <wp:inline distT="0" distB="0" distL="0" distR="0">
                    <wp:extent cx="13335" cy="13335"/>
                    <wp:effectExtent l="0" t="0" r="0" b="0"/>
                    <wp:docPr id="2" name="Рисунок 2" descr="https://niva-schkola.edusite.ru/images/clip_image002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niva-schkola.edusite.ru/images/clip_image002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" cy="133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пять лет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67C4A" w:rsidRPr="00567C4A" w:rsidTr="00567C4A">
        <w:tc>
          <w:tcPr>
            <w:tcW w:w="226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15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грамотности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15-летние школьники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три года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67C4A" w:rsidRPr="00567C4A" w:rsidTr="00567C4A">
        <w:tc>
          <w:tcPr>
            <w:tcW w:w="226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образования по модели PISA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15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математического и </w:t>
            </w:r>
            <w:proofErr w:type="spellStart"/>
            <w:proofErr w:type="gramStart"/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8-е и 9-е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четыре года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C4A" w:rsidRPr="00567C4A" w:rsidRDefault="00567C4A" w:rsidP="00567C4A">
            <w:pPr>
              <w:spacing w:before="41"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2019–2024 годы в разных регионах в соответствии </w:t>
            </w:r>
            <w:r w:rsidRPr="00567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</w:t>
            </w:r>
            <w:hyperlink r:id="rId7" w:anchor="/document/99/554691568/XA00MAI2N9/" w:history="1">
              <w:r w:rsidRPr="00567C4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графиком</w:t>
              </w:r>
            </w:hyperlink>
          </w:p>
        </w:tc>
      </w:tr>
    </w:tbl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национальном проекте «Образование» одной из приоритетных целей обозначено вхождение России в десятку лучших систем образования по результатам международных исследований. 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формирования функциональной грамотности</w:t>
      </w: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не контроль и не проверка с выстраиванием рейтингов образовательных организаций или регионов. Основой внедрения проекта являются идеи формирующего оценивания: поддержка и обеспечение формирования функциональной грамотности. Система заданий и диагностических материалов разрабатывается с учетом подходов и инструментария международного исследования PISA. При этом используются все отечественные инновационные разработки в данной области.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Концептуальные подходы для мониторинга формирования функциональной грамотности разрабатываются с учетом особенностей учащихся, для которых предназначены задания мониторинга.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Разрабатываемая система заданий и диагностических материалов будет способствовать обновлению учебных и методических материалов с учетом переориентации системы образования на новые результаты, сформулированные в ФГОС и связанные с «навыками 21 века», – функциональной грамотностью учащихся и развитием позитивных установок, мотивации обучения и стратегий поведения учащихся в различных ситуациях.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заданий и диагностических материалов для формирования и оценки функциональной грамотности учащихся 5-9 классов осуществляется по 6-ти составляющим функциональной грамотности: математической, читательской, естественнонаучной и финансовой грамотности, глобальным компетенциям, </w:t>
      </w:r>
      <w:proofErr w:type="spellStart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креативному</w:t>
      </w:r>
      <w:proofErr w:type="spellEnd"/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мышлению.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 объединенные в тематические блоки, составляют основу инструментария для оценки функциональной грамотности (также как и в исследовании PISA). Блок заданий включает в себя описание реальной ситуации, представленное, как правило, в проблемном ключе, и ряд вопросов-заданий, относящихся к этой ситуации. Учащиеся должны выполнить задания, используя знания из различных предметных областей. Их последовательное выполнение способствует тому, что двигаясь от вопроса к вопросу, ученики погружаются в описанную историю (ситуацию) применяют свои знания и умения, а также приобретают как новые знания, так и функциональные навыки.</w:t>
      </w:r>
    </w:p>
    <w:p w:rsidR="00567C4A" w:rsidRPr="00567C4A" w:rsidRDefault="00567C4A" w:rsidP="00567C4A">
      <w:pPr>
        <w:shd w:val="clear" w:color="auto" w:fill="FFFFFF"/>
        <w:spacing w:before="41" w:after="15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</w:rPr>
        <w:lastRenderedPageBreak/>
        <w:t xml:space="preserve">В настоящее время разработаны Интернет-ресурсы, </w:t>
      </w:r>
      <w:proofErr w:type="spellStart"/>
      <w:r w:rsidRPr="00567C4A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</w:rPr>
        <w:t>контент</w:t>
      </w:r>
      <w:proofErr w:type="spellEnd"/>
      <w:r w:rsidRPr="00567C4A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</w:rPr>
        <w:t xml:space="preserve"> которых можно использовать для развития и оценки функциональной грамотности обучающихся: 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1. Электронный банк заданий: </w:t>
      </w:r>
      <w:hyperlink r:id="rId8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https://fg.resh.edu.ru/.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hyperlink r:id="rId9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https://resh.edu.ru/instruction.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Общероссийская оценка по модели PISA. </w:t>
      </w:r>
      <w:proofErr w:type="spellStart"/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Вебинар</w:t>
      </w:r>
      <w:proofErr w:type="spellEnd"/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 </w:t>
      </w:r>
      <w:hyperlink r:id="rId10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https://fioco.ru/vebinar-shkoly-ocenka-pisa.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3. Открытые задания </w:t>
      </w:r>
      <w:hyperlink r:id="rId11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https://fioco.ru/примеры-задач-pisa.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12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http://center-imc.ru/wp-content/uploads/2020/02/10120.pdf.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Банк заданий для формирования и оценки функциональной грамотности обучающихся основной школы (5-9 классы). ФГБНУ Институт </w:t>
      </w:r>
      <w:proofErr w:type="gramStart"/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стратегии развития образования Российской академии образования</w:t>
      </w:r>
      <w:proofErr w:type="gramEnd"/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3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http://skiv.instrao.ru/bank-zadaniy/.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6. Демонстрационные материалы для оценки функциональной грамотности учащихся 5 и 7 классов </w:t>
      </w:r>
      <w:hyperlink r:id="rId14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http://skiv.instrao.ru/support/demonstratsionnye-materialya/.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7.</w:t>
      </w:r>
      <w:hyperlink r:id="rId15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Издательство «Просвещение»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8.</w:t>
      </w:r>
      <w:hyperlink r:id="rId16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Банк тестов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9. </w:t>
      </w:r>
      <w:hyperlink r:id="rId17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 xml:space="preserve">Марафон по функциональной грамотности. </w:t>
        </w:r>
        <w:proofErr w:type="spellStart"/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Яндекс-Учебник</w:t>
        </w:r>
        <w:proofErr w:type="spellEnd"/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10. </w:t>
      </w:r>
      <w:proofErr w:type="spellStart"/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Вебинары</w:t>
      </w:r>
      <w:proofErr w:type="spellEnd"/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учителей-предметников по функциональной грамотности </w:t>
      </w:r>
      <w:hyperlink r:id="rId18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https://prosv.ru/webinars.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</w:rPr>
        <w:t>Банк заданий по функциональной грамотности от издательства «Просвещение»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19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Электронный банк заданий по финансовой грамотности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0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Читательская грамотность. Характеристики и система оценивания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1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Электронный банк заданий по читательской грамотности</w:t>
        </w:r>
      </w:hyperlink>
      <w:r w:rsidRPr="00567C4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2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Электронный банк заданий по математической грамотности 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3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Электронный банк заданий по естественнонаучной грамотности 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4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Электронный банк заданий по глобальным компетенциям 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5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 xml:space="preserve">Электронный банк заданий по </w:t>
        </w:r>
        <w:proofErr w:type="spellStart"/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креативному</w:t>
        </w:r>
        <w:proofErr w:type="spellEnd"/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 xml:space="preserve"> мышлению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6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Примеры заданий по математической грамотности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7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Демонстрационные материалы для оценки функциональной грамотности учащихся 5 и 7 классов по шести составляющим функциональной грамотности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28" w:tgtFrame="_blank" w:history="1">
        <w:r w:rsidRPr="00567C4A">
          <w:rPr>
            <w:rFonts w:ascii="Times New Roman" w:eastAsia="Times New Roman" w:hAnsi="Times New Roman" w:cs="Times New Roman"/>
            <w:b/>
            <w:bCs/>
            <w:color w:val="0069A9"/>
            <w:sz w:val="27"/>
            <w:u w:val="single"/>
          </w:rPr>
          <w:t>Электронный банк заданий для оценки функциональной грамотности на сайте Российской электронной школы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720"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Symbol" w:eastAsia="Times New Roman" w:hAnsi="Symbol" w:cs="Times New Roman"/>
          <w:color w:val="000000"/>
          <w:sz w:val="20"/>
          <w:szCs w:val="20"/>
        </w:rPr>
        <w:lastRenderedPageBreak/>
        <w:t></w:t>
      </w:r>
      <w:r w:rsidRPr="00567C4A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proofErr w:type="spellStart"/>
      <w:r w:rsidRPr="00567C4A">
        <w:rPr>
          <w:rFonts w:ascii="Helvetica" w:eastAsia="Times New Roman" w:hAnsi="Helvetica" w:cs="Helvetica"/>
          <w:color w:val="212529"/>
          <w:sz w:val="27"/>
          <w:szCs w:val="27"/>
          <w:shd w:val="clear" w:color="auto" w:fill="FFFFFF"/>
        </w:rPr>
        <w:t>Вебинары</w:t>
      </w:r>
      <w:proofErr w:type="spellEnd"/>
      <w:r w:rsidRPr="00567C4A">
        <w:rPr>
          <w:rFonts w:ascii="Helvetica" w:eastAsia="Times New Roman" w:hAnsi="Helvetica" w:cs="Helvetica"/>
          <w:color w:val="212529"/>
          <w:sz w:val="27"/>
          <w:szCs w:val="27"/>
          <w:shd w:val="clear" w:color="auto" w:fill="FFFFFF"/>
        </w:rPr>
        <w:t xml:space="preserve"> Академии «Просвещение» для педагогов по формированию функциональной грамотности обучающихся: </w:t>
      </w:r>
    </w:p>
    <w:p w:rsidR="00567C4A" w:rsidRPr="00567C4A" w:rsidRDefault="00567C4A" w:rsidP="00567C4A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Финансовая грамотность:</w:t>
      </w:r>
    </w:p>
    <w:p w:rsidR="00567C4A" w:rsidRPr="00567C4A" w:rsidRDefault="00394BD9" w:rsidP="00567C4A">
      <w:pPr>
        <w:shd w:val="clear" w:color="auto" w:fill="FFFFFF"/>
        <w:spacing w:before="41" w:after="41" w:line="240" w:lineRule="auto"/>
        <w:ind w:left="1287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29" w:history="1">
        <w:r w:rsidR="00567C4A" w:rsidRPr="00567C4A">
          <w:rPr>
            <w:rFonts w:ascii="Times New Roman" w:eastAsia="Times New Roman" w:hAnsi="Times New Roman" w:cs="Times New Roman"/>
            <w:b/>
            <w:bCs/>
            <w:color w:val="008284"/>
            <w:sz w:val="28"/>
            <w:u w:val="single"/>
          </w:rPr>
          <w:t>https://youtu.be/WJ2is6yhgWc</w:t>
        </w:r>
      </w:hyperlink>
    </w:p>
    <w:p w:rsidR="00567C4A" w:rsidRPr="00567C4A" w:rsidRDefault="00567C4A" w:rsidP="00567C4A">
      <w:pPr>
        <w:shd w:val="clear" w:color="auto" w:fill="FFFFFF"/>
        <w:spacing w:before="41" w:after="41" w:line="240" w:lineRule="auto"/>
        <w:ind w:left="1287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67C4A">
        <w:rPr>
          <w:rFonts w:ascii="Verdana" w:eastAsia="Times New Roman" w:hAnsi="Verdana" w:cs="Times New Roman"/>
          <w:i/>
          <w:iCs/>
          <w:color w:val="212529"/>
          <w:sz w:val="28"/>
        </w:rPr>
        <w:t>Читательская: грамотность:</w:t>
      </w:r>
    </w:p>
    <w:p w:rsidR="00567C4A" w:rsidRPr="00567C4A" w:rsidRDefault="00394BD9" w:rsidP="00567C4A">
      <w:pPr>
        <w:shd w:val="clear" w:color="auto" w:fill="FFFFFF"/>
        <w:spacing w:before="41" w:after="41" w:line="240" w:lineRule="auto"/>
        <w:ind w:left="1287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30" w:history="1">
        <w:r w:rsidR="00567C4A" w:rsidRPr="00567C4A">
          <w:rPr>
            <w:rFonts w:ascii="Times New Roman" w:eastAsia="Times New Roman" w:hAnsi="Times New Roman" w:cs="Times New Roman"/>
            <w:b/>
            <w:bCs/>
            <w:color w:val="008284"/>
            <w:sz w:val="28"/>
            <w:u w:val="single"/>
          </w:rPr>
          <w:t>https://youtu.be/_om_kIhu7G8</w:t>
        </w:r>
      </w:hyperlink>
    </w:p>
    <w:p w:rsidR="009818B1" w:rsidRDefault="009818B1"/>
    <w:sectPr w:rsidR="009818B1" w:rsidSect="00C8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67C4A"/>
    <w:rsid w:val="00394BD9"/>
    <w:rsid w:val="00567C4A"/>
    <w:rsid w:val="009818B1"/>
    <w:rsid w:val="009D1F0B"/>
    <w:rsid w:val="00C82354"/>
    <w:rsid w:val="00F8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4"/>
  </w:style>
  <w:style w:type="paragraph" w:styleId="1">
    <w:name w:val="heading 1"/>
    <w:basedOn w:val="a"/>
    <w:link w:val="10"/>
    <w:uiPriority w:val="9"/>
    <w:qFormat/>
    <w:rsid w:val="00567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7C4A"/>
    <w:rPr>
      <w:color w:val="0000FF"/>
      <w:u w:val="single"/>
    </w:rPr>
  </w:style>
  <w:style w:type="character" w:styleId="a5">
    <w:name w:val="Strong"/>
    <w:basedOn w:val="a0"/>
    <w:uiPriority w:val="22"/>
    <w:qFormat/>
    <w:rsid w:val="00567C4A"/>
    <w:rPr>
      <w:b/>
      <w:bCs/>
    </w:rPr>
  </w:style>
  <w:style w:type="paragraph" w:customStyle="1" w:styleId="text-justify">
    <w:name w:val="text-justify"/>
    <w:basedOn w:val="a"/>
    <w:rsid w:val="005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67C4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6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?redirectAfterLogin=%2Ffunctionalliteracy%2Fevents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uchitel.club/events/vebinary/filter" TargetMode="External"/><Relationship Id="rId26" Type="http://schemas.openxmlformats.org/officeDocument/2006/relationships/hyperlink" Target="http://www.centeroko.ru/pisa15/pisa15_pub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kiv.instrao.ru/bank-zadaniy/chitatelskaya-gramotnost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center-imc.ru/wp-content/uploads/2020/02/10120.pdf" TargetMode="External"/><Relationship Id="rId17" Type="http://schemas.openxmlformats.org/officeDocument/2006/relationships/hyperlink" Target="https://yandex.ru/promo/education/specpro/marathon2020/main" TargetMode="External"/><Relationship Id="rId25" Type="http://schemas.openxmlformats.org/officeDocument/2006/relationships/hyperlink" Target="http://skiv.instrao.ru/bank-zadaniy/kreativnoe-myshl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nktestov.ru/test/3674" TargetMode="External"/><Relationship Id="rId20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29" Type="http://schemas.openxmlformats.org/officeDocument/2006/relationships/hyperlink" Target="https://youtu.be/WJ2is6yhgW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hyperlink" Target="http://skiv.instrao.ru/bank-zadaniy/globalnye-kompetentsii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aacg3ajc5bedviq9r.xn--p1ai/" TargetMode="External"/><Relationship Id="rId15" Type="http://schemas.openxmlformats.org/officeDocument/2006/relationships/hyperlink" Target="https://media.prosv.ru/fg/" TargetMode="External"/><Relationship Id="rId23" Type="http://schemas.openxmlformats.org/officeDocument/2006/relationships/hyperlink" Target="http://skiv.instrao.ru/bank-zadaniy/estestvennonauchnaya-gramotnost/" TargetMode="External"/><Relationship Id="rId28" Type="http://schemas.openxmlformats.org/officeDocument/2006/relationships/hyperlink" Target="https://fg.resh.edu.ru/" TargetMode="External"/><Relationship Id="rId10" Type="http://schemas.openxmlformats.org/officeDocument/2006/relationships/hyperlink" Target="https://fioco.ru/vebinar-shkoly-ocenka-pisa" TargetMode="External"/><Relationship Id="rId19" Type="http://schemas.openxmlformats.org/officeDocument/2006/relationships/hyperlink" Target="http://skiv.instrao.ru/bank-zadaniy/finansovaya-gramotnost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resh.edu.ru/instruction" TargetMode="External"/><Relationship Id="rId14" Type="http://schemas.openxmlformats.org/officeDocument/2006/relationships/hyperlink" Target="http://skiv.instrao.ru/support/demonstratsionnye-materialya/" TargetMode="External"/><Relationship Id="rId22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hyperlink" Target="http://skiv.instrao.ru/support/demonstratsionnye-materialya/index.php" TargetMode="External"/><Relationship Id="rId30" Type="http://schemas.openxmlformats.org/officeDocument/2006/relationships/hyperlink" Target="https://youtu.be/_om_kIhu7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ЗАВОДСКОЙ</dc:creator>
  <cp:keywords/>
  <dc:description/>
  <cp:lastModifiedBy>ЗАВОДСКОЙ</cp:lastModifiedBy>
  <cp:revision>7</cp:revision>
  <dcterms:created xsi:type="dcterms:W3CDTF">2022-11-18T17:46:00Z</dcterms:created>
  <dcterms:modified xsi:type="dcterms:W3CDTF">2022-11-18T18:47:00Z</dcterms:modified>
</cp:coreProperties>
</file>